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AB" w:rsidRDefault="001E6C7B" w:rsidP="00437CAB">
      <w:pPr>
        <w:spacing w:after="0" w:line="240" w:lineRule="auto"/>
        <w:jc w:val="center"/>
      </w:pPr>
      <w:r>
        <w:pict>
          <v:rect id="_x0000_i1025" style="width:468pt;height:8pt" o:hralign="center" o:hrstd="t" o:hrnoshade="t" o:hr="t" fillcolor="#1c3f94" stroked="f"/>
        </w:pict>
      </w:r>
    </w:p>
    <w:p w:rsidR="00437CAB" w:rsidRDefault="00437CAB" w:rsidP="00437CAB">
      <w:pPr>
        <w:spacing w:after="0" w:line="240" w:lineRule="auto"/>
        <w:jc w:val="center"/>
      </w:pPr>
    </w:p>
    <w:p w:rsidR="00437CAB" w:rsidRDefault="00D26828" w:rsidP="00437CA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FINANCING OVERVIEW</w:t>
      </w:r>
    </w:p>
    <w:p w:rsidR="00BF334F" w:rsidRPr="00BF334F" w:rsidRDefault="00D26828" w:rsidP="00BF334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Energy Savings</w:t>
      </w:r>
      <w:r w:rsidR="008F6517">
        <w:rPr>
          <w:rFonts w:ascii="Times New Roman" w:hAnsi="Times New Roman"/>
          <w:b/>
          <w:sz w:val="30"/>
          <w:szCs w:val="30"/>
        </w:rPr>
        <w:t xml:space="preserve"> Performance Contracts</w:t>
      </w:r>
    </w:p>
    <w:p w:rsidR="00437CAB" w:rsidRDefault="00437CAB" w:rsidP="00DA7A0D">
      <w:pPr>
        <w:spacing w:after="0" w:line="240" w:lineRule="auto"/>
        <w:jc w:val="center"/>
      </w:pPr>
    </w:p>
    <w:p w:rsidR="00437CAB" w:rsidRDefault="001E6C7B" w:rsidP="00DA7A0D">
      <w:pPr>
        <w:spacing w:after="0" w:line="240" w:lineRule="auto"/>
        <w:jc w:val="center"/>
      </w:pPr>
      <w:r>
        <w:pict>
          <v:rect id="_x0000_i1026" style="width:468pt;height:8pt" o:hralign="center" o:hrstd="t" o:hrnoshade="t" o:hr="t" fillcolor="#1c3f94" stroked="f"/>
        </w:pict>
      </w:r>
    </w:p>
    <w:p w:rsidR="005D7AD6" w:rsidRDefault="005D7AD6" w:rsidP="005D7A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6828" w:rsidRDefault="00D26828" w:rsidP="00BF334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D26828" w:rsidRPr="00F22677" w:rsidRDefault="00D26828" w:rsidP="00D26828">
      <w:r>
        <w:t>Energy savings projects are no different than other capital projects taken on by Kentucky’s Cities and Counties.   The current low interest rate environment has made these projects more affordable and a viable option for replacing and updating outdated equipment.   Capital remains cheap and accessible through traditional and newer borrowing methods.   Some of the financing vehicles commonly used in</w:t>
      </w:r>
      <w:r w:rsidRPr="00F22677">
        <w:t>clude:</w:t>
      </w:r>
    </w:p>
    <w:p w:rsidR="00D26828" w:rsidRDefault="00D26828" w:rsidP="00D26828">
      <w:pPr>
        <w:pStyle w:val="ListParagraph"/>
        <w:numPr>
          <w:ilvl w:val="0"/>
          <w:numId w:val="2"/>
        </w:numPr>
      </w:pPr>
      <w:r>
        <w:t>Bonds</w:t>
      </w:r>
    </w:p>
    <w:p w:rsidR="00D26828" w:rsidRDefault="00D26828" w:rsidP="00D26828">
      <w:pPr>
        <w:pStyle w:val="ListParagraph"/>
        <w:numPr>
          <w:ilvl w:val="0"/>
          <w:numId w:val="2"/>
        </w:numPr>
      </w:pPr>
      <w:r>
        <w:t>Bond Pools</w:t>
      </w:r>
    </w:p>
    <w:p w:rsidR="00D26828" w:rsidRDefault="00D26828" w:rsidP="00D26828">
      <w:pPr>
        <w:pStyle w:val="ListParagraph"/>
        <w:numPr>
          <w:ilvl w:val="0"/>
          <w:numId w:val="2"/>
        </w:numPr>
      </w:pPr>
      <w:r>
        <w:t>Bank Loans and Leases</w:t>
      </w:r>
      <w:bookmarkStart w:id="0" w:name="_GoBack"/>
      <w:bookmarkEnd w:id="0"/>
    </w:p>
    <w:p w:rsidR="00D26828" w:rsidRDefault="00D26828" w:rsidP="00D26828">
      <w:pPr>
        <w:pStyle w:val="ListParagraph"/>
        <w:numPr>
          <w:ilvl w:val="0"/>
          <w:numId w:val="2"/>
        </w:numPr>
      </w:pPr>
      <w:r>
        <w:t>USDA Financing</w:t>
      </w:r>
    </w:p>
    <w:p w:rsidR="00D26828" w:rsidRPr="00F22677" w:rsidRDefault="00D26828" w:rsidP="00D26828">
      <w:pPr>
        <w:rPr>
          <w:u w:val="single"/>
        </w:rPr>
      </w:pPr>
      <w:r>
        <w:t>The two most common security pledges for the debt are:</w:t>
      </w:r>
    </w:p>
    <w:p w:rsidR="00D26828" w:rsidRPr="008D63A3" w:rsidRDefault="00D26828" w:rsidP="00D26828">
      <w:pPr>
        <w:rPr>
          <w:i/>
        </w:rPr>
      </w:pPr>
      <w:r w:rsidRPr="00F22677">
        <w:rPr>
          <w:b/>
          <w:i/>
        </w:rPr>
        <w:t>General Obligation</w:t>
      </w:r>
      <w:r>
        <w:rPr>
          <w:b/>
          <w:i/>
        </w:rPr>
        <w:t xml:space="preserve"> – </w:t>
      </w:r>
      <w:r>
        <w:rPr>
          <w:i/>
        </w:rPr>
        <w:t>Backed by the taxing power of the municipality</w:t>
      </w:r>
    </w:p>
    <w:p w:rsidR="00D26828" w:rsidRDefault="00D26828" w:rsidP="00D26828">
      <w:pPr>
        <w:pStyle w:val="ListParagraph"/>
        <w:numPr>
          <w:ilvl w:val="0"/>
          <w:numId w:val="1"/>
        </w:numPr>
      </w:pPr>
      <w:r>
        <w:t>Provides lowest cost of capital</w:t>
      </w:r>
    </w:p>
    <w:p w:rsidR="00D26828" w:rsidRDefault="00D26828" w:rsidP="00D26828">
      <w:pPr>
        <w:pStyle w:val="ListParagraph"/>
        <w:numPr>
          <w:ilvl w:val="0"/>
          <w:numId w:val="1"/>
        </w:numPr>
      </w:pPr>
      <w:r>
        <w:t>Easiest access to capital</w:t>
      </w:r>
    </w:p>
    <w:p w:rsidR="00D26828" w:rsidRDefault="00D26828" w:rsidP="00D26828">
      <w:pPr>
        <w:pStyle w:val="ListParagraph"/>
        <w:numPr>
          <w:ilvl w:val="0"/>
          <w:numId w:val="1"/>
        </w:numPr>
      </w:pPr>
      <w:r w:rsidRPr="002B7E2B">
        <w:t>Debt would go against</w:t>
      </w:r>
      <w:r>
        <w:t xml:space="preserve"> your debt capacity </w:t>
      </w:r>
    </w:p>
    <w:p w:rsidR="00D26828" w:rsidRDefault="00D26828" w:rsidP="00D26828">
      <w:pPr>
        <w:pStyle w:val="ListParagraph"/>
        <w:numPr>
          <w:ilvl w:val="1"/>
          <w:numId w:val="1"/>
        </w:numPr>
      </w:pPr>
      <w:r>
        <w:t>Capacity is calculated as a percentage of</w:t>
      </w:r>
      <w:r w:rsidR="00E33919">
        <w:t xml:space="preserve"> taxable property (KRS 66.041)</w:t>
      </w:r>
    </w:p>
    <w:p w:rsidR="00D26828" w:rsidRDefault="00D26828" w:rsidP="00D26828">
      <w:pPr>
        <w:pStyle w:val="ListParagraph"/>
        <w:numPr>
          <w:ilvl w:val="2"/>
          <w:numId w:val="1"/>
        </w:numPr>
      </w:pPr>
      <w:r>
        <w:t>Counties – 2% of Assessed Valuations</w:t>
      </w:r>
    </w:p>
    <w:p w:rsidR="00D26828" w:rsidRDefault="00D26828" w:rsidP="00D26828">
      <w:pPr>
        <w:pStyle w:val="ListParagraph"/>
        <w:numPr>
          <w:ilvl w:val="2"/>
          <w:numId w:val="1"/>
        </w:numPr>
      </w:pPr>
      <w:r>
        <w:t>Cities with populations under 3,000 – 3% Assessed Valuations</w:t>
      </w:r>
    </w:p>
    <w:p w:rsidR="00D26828" w:rsidRDefault="00D26828" w:rsidP="00D26828">
      <w:pPr>
        <w:pStyle w:val="ListParagraph"/>
        <w:numPr>
          <w:ilvl w:val="2"/>
          <w:numId w:val="1"/>
        </w:numPr>
      </w:pPr>
      <w:r>
        <w:t>Cities with populations between  3,000 - 1</w:t>
      </w:r>
      <w:r w:rsidR="00D50A78">
        <w:t>5</w:t>
      </w:r>
      <w:r>
        <w:t>,000 – 5% Assessed Valuations</w:t>
      </w:r>
    </w:p>
    <w:p w:rsidR="00D26828" w:rsidRDefault="00D26828" w:rsidP="00D26828">
      <w:pPr>
        <w:pStyle w:val="ListParagraph"/>
        <w:numPr>
          <w:ilvl w:val="2"/>
          <w:numId w:val="1"/>
        </w:numPr>
      </w:pPr>
      <w:r>
        <w:t>Cities with populations Over 1</w:t>
      </w:r>
      <w:r w:rsidR="00D50A78">
        <w:t>5</w:t>
      </w:r>
      <w:r>
        <w:t xml:space="preserve">,000 – </w:t>
      </w:r>
      <w:r w:rsidR="00D50A78">
        <w:t>10</w:t>
      </w:r>
      <w:r>
        <w:t>% Assessed Valuations</w:t>
      </w:r>
    </w:p>
    <w:p w:rsidR="00D26828" w:rsidRPr="008D63A3" w:rsidRDefault="00D26828" w:rsidP="00D26828">
      <w:pPr>
        <w:rPr>
          <w:i/>
        </w:rPr>
      </w:pPr>
      <w:r>
        <w:rPr>
          <w:b/>
          <w:i/>
        </w:rPr>
        <w:t xml:space="preserve">Lease Appropriated / </w:t>
      </w:r>
      <w:r w:rsidRPr="00F22677">
        <w:rPr>
          <w:b/>
          <w:i/>
        </w:rPr>
        <w:t>Revenue</w:t>
      </w:r>
      <w:r>
        <w:rPr>
          <w:b/>
          <w:i/>
        </w:rPr>
        <w:t xml:space="preserve"> - </w:t>
      </w:r>
      <w:r>
        <w:rPr>
          <w:i/>
        </w:rPr>
        <w:t>Guaranteed energy savings are pledged as a source of payment on the debt</w:t>
      </w:r>
    </w:p>
    <w:p w:rsidR="00D26828" w:rsidRDefault="00D26828" w:rsidP="00D26828">
      <w:pPr>
        <w:pStyle w:val="ListParagraph"/>
        <w:numPr>
          <w:ilvl w:val="0"/>
          <w:numId w:val="1"/>
        </w:numPr>
      </w:pPr>
      <w:r>
        <w:t xml:space="preserve">No direct tax obligation </w:t>
      </w:r>
    </w:p>
    <w:p w:rsidR="00D26828" w:rsidRDefault="00D26828" w:rsidP="00D26828">
      <w:pPr>
        <w:pStyle w:val="ListParagraph"/>
        <w:numPr>
          <w:ilvl w:val="0"/>
          <w:numId w:val="1"/>
        </w:numPr>
      </w:pPr>
      <w:r>
        <w:t>Excluded from debt capacity calculation</w:t>
      </w:r>
    </w:p>
    <w:p w:rsidR="00D26828" w:rsidRDefault="00D26828" w:rsidP="00D26828">
      <w:pPr>
        <w:pStyle w:val="ListParagraph"/>
        <w:numPr>
          <w:ilvl w:val="0"/>
          <w:numId w:val="1"/>
        </w:numPr>
      </w:pPr>
      <w:r>
        <w:t>Higher cost of capital compared to general obligation</w:t>
      </w:r>
    </w:p>
    <w:p w:rsidR="00D26828" w:rsidRDefault="00D26828" w:rsidP="00D26828">
      <w:pPr>
        <w:rPr>
          <w:u w:val="single"/>
        </w:rPr>
      </w:pPr>
      <w:r>
        <w:rPr>
          <w:u w:val="single"/>
        </w:rPr>
        <w:t>Other Considerations</w:t>
      </w:r>
    </w:p>
    <w:p w:rsidR="00D26828" w:rsidRDefault="00D26828" w:rsidP="00D26828">
      <w:pPr>
        <w:pStyle w:val="ListParagraph"/>
        <w:numPr>
          <w:ilvl w:val="0"/>
          <w:numId w:val="3"/>
        </w:numPr>
      </w:pPr>
      <w:r w:rsidRPr="00F22677">
        <w:t>Engage Early – Have a financing team work directly with you</w:t>
      </w:r>
      <w:r>
        <w:t xml:space="preserve">r municipality </w:t>
      </w:r>
      <w:r w:rsidRPr="00F22677">
        <w:t xml:space="preserve">and the </w:t>
      </w:r>
      <w:proofErr w:type="spellStart"/>
      <w:r w:rsidRPr="00F22677">
        <w:t>ESCo</w:t>
      </w:r>
      <w:proofErr w:type="spellEnd"/>
      <w:r w:rsidRPr="00F22677">
        <w:t>.</w:t>
      </w:r>
    </w:p>
    <w:p w:rsidR="00D50A78" w:rsidRPr="00F22677" w:rsidRDefault="00D50A78" w:rsidP="00D50A78">
      <w:pPr>
        <w:pStyle w:val="ListParagraph"/>
        <w:numPr>
          <w:ilvl w:val="0"/>
          <w:numId w:val="3"/>
        </w:numPr>
      </w:pPr>
      <w:r>
        <w:t>Bundle with larger projects – economies of scale reduces borrowing costs</w:t>
      </w:r>
    </w:p>
    <w:p w:rsidR="00D26828" w:rsidRDefault="00D26828" w:rsidP="00D26828">
      <w:pPr>
        <w:pStyle w:val="ListParagraph"/>
        <w:numPr>
          <w:ilvl w:val="0"/>
          <w:numId w:val="3"/>
        </w:numPr>
      </w:pPr>
      <w:r>
        <w:t>Considering capital avoidance costs and structuring financing around them</w:t>
      </w:r>
    </w:p>
    <w:p w:rsidR="00D26828" w:rsidRDefault="00D26828" w:rsidP="00D26828">
      <w:pPr>
        <w:pStyle w:val="ListParagraph"/>
        <w:numPr>
          <w:ilvl w:val="0"/>
          <w:numId w:val="3"/>
        </w:numPr>
      </w:pPr>
      <w:r>
        <w:t>Utilize bridge loans to avoid timing problems</w:t>
      </w:r>
    </w:p>
    <w:p w:rsidR="00D50A78" w:rsidRPr="00F22677" w:rsidRDefault="006147FE" w:rsidP="00D50A78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461010</wp:posOffset>
            </wp:positionV>
            <wp:extent cx="1285875" cy="654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471814</wp:posOffset>
            </wp:positionV>
            <wp:extent cx="1219200" cy="63689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68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sectPr w:rsidR="00D50A78" w:rsidRPr="00F22677" w:rsidSect="00437CAB">
      <w:footerReference w:type="default" r:id="rId10"/>
      <w:pgSz w:w="12240" w:h="15840"/>
      <w:pgMar w:top="630" w:right="1440" w:bottom="1152" w:left="1440" w:header="720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838" w:rsidRDefault="007E2838">
      <w:pPr>
        <w:spacing w:after="0" w:line="240" w:lineRule="auto"/>
      </w:pPr>
      <w:r>
        <w:separator/>
      </w:r>
    </w:p>
  </w:endnote>
  <w:endnote w:type="continuationSeparator" w:id="0">
    <w:p w:rsidR="007E2838" w:rsidRDefault="007E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8D3" w:rsidRDefault="00B208D3">
    <w:pPr>
      <w:pStyle w:val="Footer"/>
    </w:pPr>
  </w:p>
  <w:p w:rsidR="00B208D3" w:rsidRDefault="00B208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838" w:rsidRDefault="007E2838">
      <w:pPr>
        <w:spacing w:after="0" w:line="240" w:lineRule="auto"/>
      </w:pPr>
      <w:r>
        <w:separator/>
      </w:r>
    </w:p>
  </w:footnote>
  <w:footnote w:type="continuationSeparator" w:id="0">
    <w:p w:rsidR="007E2838" w:rsidRDefault="007E2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3C4"/>
    <w:multiLevelType w:val="hybridMultilevel"/>
    <w:tmpl w:val="E8664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4BC4"/>
    <w:multiLevelType w:val="hybridMultilevel"/>
    <w:tmpl w:val="E886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18B3"/>
    <w:multiLevelType w:val="hybridMultilevel"/>
    <w:tmpl w:val="A4E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8D1055"/>
    <w:rsid w:val="0003356C"/>
    <w:rsid w:val="0004112D"/>
    <w:rsid w:val="00047F2B"/>
    <w:rsid w:val="0005387F"/>
    <w:rsid w:val="00060F24"/>
    <w:rsid w:val="000C4DC4"/>
    <w:rsid w:val="001442A3"/>
    <w:rsid w:val="00145D19"/>
    <w:rsid w:val="001773C2"/>
    <w:rsid w:val="00194758"/>
    <w:rsid w:val="001E6C7B"/>
    <w:rsid w:val="0021551C"/>
    <w:rsid w:val="002309D1"/>
    <w:rsid w:val="002655B3"/>
    <w:rsid w:val="00266814"/>
    <w:rsid w:val="00285B8C"/>
    <w:rsid w:val="003338E9"/>
    <w:rsid w:val="00366869"/>
    <w:rsid w:val="00367364"/>
    <w:rsid w:val="003876C8"/>
    <w:rsid w:val="003B0227"/>
    <w:rsid w:val="003D35BE"/>
    <w:rsid w:val="003E73A0"/>
    <w:rsid w:val="00430FF5"/>
    <w:rsid w:val="00436A4F"/>
    <w:rsid w:val="00437CAB"/>
    <w:rsid w:val="00441BDF"/>
    <w:rsid w:val="00447D9D"/>
    <w:rsid w:val="004558B4"/>
    <w:rsid w:val="004A3BB0"/>
    <w:rsid w:val="004F293C"/>
    <w:rsid w:val="005D7AD6"/>
    <w:rsid w:val="00610DAE"/>
    <w:rsid w:val="006147FE"/>
    <w:rsid w:val="00657515"/>
    <w:rsid w:val="006A2F3E"/>
    <w:rsid w:val="006C38AC"/>
    <w:rsid w:val="006E679A"/>
    <w:rsid w:val="006F4CF4"/>
    <w:rsid w:val="0070450E"/>
    <w:rsid w:val="00725051"/>
    <w:rsid w:val="007D34B3"/>
    <w:rsid w:val="007E2838"/>
    <w:rsid w:val="008679ED"/>
    <w:rsid w:val="00876B52"/>
    <w:rsid w:val="008B4FF8"/>
    <w:rsid w:val="008C51EC"/>
    <w:rsid w:val="008C6AE3"/>
    <w:rsid w:val="008D1055"/>
    <w:rsid w:val="008F6517"/>
    <w:rsid w:val="008F7C71"/>
    <w:rsid w:val="00905FD8"/>
    <w:rsid w:val="009B2FCF"/>
    <w:rsid w:val="009F5191"/>
    <w:rsid w:val="00A20267"/>
    <w:rsid w:val="00A232D5"/>
    <w:rsid w:val="00A41B97"/>
    <w:rsid w:val="00A41C0A"/>
    <w:rsid w:val="00A93E48"/>
    <w:rsid w:val="00AB11E4"/>
    <w:rsid w:val="00AD38DA"/>
    <w:rsid w:val="00AD7037"/>
    <w:rsid w:val="00B208D3"/>
    <w:rsid w:val="00BB0171"/>
    <w:rsid w:val="00BF334F"/>
    <w:rsid w:val="00C02183"/>
    <w:rsid w:val="00C53D0A"/>
    <w:rsid w:val="00C559BF"/>
    <w:rsid w:val="00CD0350"/>
    <w:rsid w:val="00CF3988"/>
    <w:rsid w:val="00D07A47"/>
    <w:rsid w:val="00D26828"/>
    <w:rsid w:val="00D50A78"/>
    <w:rsid w:val="00D55144"/>
    <w:rsid w:val="00DA7A0D"/>
    <w:rsid w:val="00DB4F7F"/>
    <w:rsid w:val="00DC24EF"/>
    <w:rsid w:val="00E10BD7"/>
    <w:rsid w:val="00E30A1B"/>
    <w:rsid w:val="00E33919"/>
    <w:rsid w:val="00E65E10"/>
    <w:rsid w:val="00E7052F"/>
    <w:rsid w:val="00E86E02"/>
    <w:rsid w:val="00EB1042"/>
    <w:rsid w:val="00EF2E78"/>
    <w:rsid w:val="00F52D6B"/>
    <w:rsid w:val="00F67155"/>
    <w:rsid w:val="00F701DC"/>
    <w:rsid w:val="00F90648"/>
    <w:rsid w:val="00F9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7B"/>
  </w:style>
  <w:style w:type="paragraph" w:styleId="Footer">
    <w:name w:val="footer"/>
    <w:basedOn w:val="Normal"/>
    <w:link w:val="FooterChar"/>
    <w:uiPriority w:val="99"/>
    <w:unhideWhenUsed/>
    <w:rsid w:val="001E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7B"/>
  </w:style>
  <w:style w:type="character" w:customStyle="1" w:styleId="DocID">
    <w:name w:val="DocID"/>
    <w:basedOn w:val="DefaultParagraphFont"/>
    <w:rsid w:val="001E6C7B"/>
    <w:rPr>
      <w:rFonts w:ascii="Times New Roman" w:hAnsi="Times New Roman" w:cs="Times New Roman"/>
      <w:b w:val="0"/>
      <w:i w:val="0"/>
      <w:color w:val="000000"/>
      <w:sz w:val="14"/>
      <w:u w:val="none"/>
    </w:rPr>
  </w:style>
  <w:style w:type="paragraph" w:styleId="Revision">
    <w:name w:val="Revision"/>
    <w:hidden/>
    <w:uiPriority w:val="99"/>
    <w:semiHidden/>
    <w:rsid w:val="00E70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8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i w:val="0"/>
      <w:color w:val="000000"/>
      <w:sz w:val="14"/>
      <w:u w:val="none"/>
    </w:rPr>
  </w:style>
  <w:style w:type="paragraph" w:styleId="Revision">
    <w:name w:val="Revision"/>
    <w:hidden/>
    <w:uiPriority w:val="99"/>
    <w:semiHidden/>
    <w:rsid w:val="00E705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FA5F1-49EA-4AF0-B62C-C1F4FD13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George</dc:creator>
  <cp:lastModifiedBy>%USERNAME%</cp:lastModifiedBy>
  <cp:revision>2</cp:revision>
  <cp:lastPrinted>2013-07-23T15:38:00Z</cp:lastPrinted>
  <dcterms:created xsi:type="dcterms:W3CDTF">2013-10-24T13:57:00Z</dcterms:created>
  <dcterms:modified xsi:type="dcterms:W3CDTF">2013-10-24T13:57:00Z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1919685090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lonnie.campbell@kaco.org</vt:lpwstr>
  </property>
  <property fmtid="{D5CDD505-2E9C-101B-9397-08002B2CF9AE}" pid="6" name="_AuthorEmailDisplayName">
    <vt:lpwstr>Campbell, Lonnie - KACo</vt:lpwstr>
  </property>
  <property fmtid="{D5CDD505-2E9C-101B-9397-08002B2CF9AE}" pid="7" name="_ReviewingToolsShownOnce">
    <vt:lpwstr/>
  </property>
</Properties>
</file>